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80" w:rsidRPr="007A152C" w:rsidRDefault="00791F80" w:rsidP="00791F80">
      <w:pPr>
        <w:jc w:val="both"/>
        <w:rPr>
          <w:rFonts w:ascii="Arial" w:hAnsi="Arial" w:cs="Arial"/>
          <w:b/>
          <w:color w:val="4472C4" w:themeColor="accent5"/>
          <w:sz w:val="24"/>
          <w:szCs w:val="24"/>
          <w:lang w:val="en-US"/>
        </w:rPr>
      </w:pPr>
      <w:bookmarkStart w:id="0" w:name="_GoBack"/>
      <w:bookmarkEnd w:id="0"/>
      <w:r w:rsidRPr="007A152C">
        <w:rPr>
          <w:rFonts w:ascii="Arial" w:hAnsi="Arial" w:cs="Arial"/>
          <w:b/>
          <w:color w:val="4472C4" w:themeColor="accent5"/>
          <w:sz w:val="24"/>
          <w:szCs w:val="24"/>
          <w:lang w:val="en-US"/>
        </w:rPr>
        <w:t xml:space="preserve">What is Social Housing Fraud? </w:t>
      </w:r>
    </w:p>
    <w:p w:rsidR="00791F80" w:rsidRPr="007A152C" w:rsidRDefault="00791F80" w:rsidP="004E59A1">
      <w:pPr>
        <w:spacing w:after="0" w:line="240" w:lineRule="auto"/>
        <w:jc w:val="both"/>
        <w:textAlignment w:val="baseline"/>
        <w:rPr>
          <w:rFonts w:ascii="Arial" w:eastAsia="Times New Roman" w:hAnsi="Arial" w:cs="Arial"/>
          <w:b/>
          <w:color w:val="333333"/>
          <w:sz w:val="24"/>
          <w:szCs w:val="24"/>
          <w:lang w:val="en" w:eastAsia="en-GB"/>
        </w:rPr>
      </w:pPr>
    </w:p>
    <w:p w:rsidR="00791F80" w:rsidRPr="007A152C" w:rsidRDefault="00791F80" w:rsidP="00791F80">
      <w:pPr>
        <w:spacing w:after="0" w:line="240" w:lineRule="auto"/>
        <w:jc w:val="both"/>
        <w:textAlignment w:val="baseline"/>
        <w:rPr>
          <w:rFonts w:ascii="Arial" w:eastAsia="Times New Roman" w:hAnsi="Arial" w:cs="Arial"/>
          <w:color w:val="333333"/>
          <w:sz w:val="24"/>
          <w:szCs w:val="24"/>
          <w:lang w:val="en" w:eastAsia="en-GB"/>
        </w:rPr>
      </w:pPr>
      <w:r w:rsidRPr="00791F80">
        <w:rPr>
          <w:rFonts w:ascii="Arial" w:eastAsia="Times New Roman" w:hAnsi="Arial" w:cs="Arial"/>
          <w:color w:val="333333"/>
          <w:sz w:val="24"/>
          <w:szCs w:val="24"/>
          <w:lang w:val="en" w:eastAsia="en-GB"/>
        </w:rPr>
        <w:t xml:space="preserve">Social Housing Fraud is often referred to as </w:t>
      </w:r>
      <w:r w:rsidRPr="007A152C">
        <w:rPr>
          <w:rFonts w:ascii="Arial" w:eastAsia="Times New Roman" w:hAnsi="Arial" w:cs="Arial"/>
          <w:color w:val="333333"/>
          <w:sz w:val="24"/>
          <w:szCs w:val="24"/>
          <w:lang w:val="en" w:eastAsia="en-GB"/>
        </w:rPr>
        <w:t>housing tenancy f</w:t>
      </w:r>
      <w:r w:rsidRPr="00791F80">
        <w:rPr>
          <w:rFonts w:ascii="Arial" w:eastAsia="Times New Roman" w:hAnsi="Arial" w:cs="Arial"/>
          <w:color w:val="333333"/>
          <w:sz w:val="24"/>
          <w:szCs w:val="24"/>
          <w:lang w:val="en" w:eastAsia="en-GB"/>
        </w:rPr>
        <w:t>raud and there are several types. Here are some of the most common ones:</w:t>
      </w:r>
    </w:p>
    <w:p w:rsidR="00791F80" w:rsidRPr="00791F80" w:rsidRDefault="00791F80" w:rsidP="00791F80">
      <w:pPr>
        <w:spacing w:after="0" w:line="240" w:lineRule="auto"/>
        <w:jc w:val="both"/>
        <w:textAlignment w:val="baseline"/>
        <w:rPr>
          <w:rFonts w:ascii="Arial" w:eastAsia="Times New Roman" w:hAnsi="Arial" w:cs="Arial"/>
          <w:color w:val="333333"/>
          <w:sz w:val="24"/>
          <w:szCs w:val="24"/>
          <w:lang w:val="en" w:eastAsia="en-GB"/>
        </w:rPr>
      </w:pPr>
    </w:p>
    <w:p w:rsidR="00791F80" w:rsidRPr="007A152C" w:rsidRDefault="00791F80" w:rsidP="00791F80">
      <w:pPr>
        <w:pStyle w:val="ListParagraph"/>
        <w:numPr>
          <w:ilvl w:val="0"/>
          <w:numId w:val="3"/>
        </w:numPr>
        <w:jc w:val="both"/>
        <w:rPr>
          <w:rFonts w:ascii="Arial" w:hAnsi="Arial" w:cs="Arial"/>
          <w:sz w:val="24"/>
          <w:szCs w:val="24"/>
          <w:lang w:val="en-US"/>
        </w:rPr>
      </w:pPr>
      <w:r w:rsidRPr="007A152C">
        <w:rPr>
          <w:rFonts w:ascii="Arial" w:hAnsi="Arial" w:cs="Arial"/>
          <w:color w:val="4472C4" w:themeColor="accent5"/>
          <w:sz w:val="24"/>
          <w:szCs w:val="24"/>
          <w:lang w:val="en-US"/>
        </w:rPr>
        <w:t xml:space="preserve">Unlawful subletting </w:t>
      </w:r>
      <w:r w:rsidRPr="007A152C">
        <w:rPr>
          <w:rFonts w:ascii="Arial" w:hAnsi="Arial" w:cs="Arial"/>
          <w:sz w:val="24"/>
          <w:szCs w:val="24"/>
          <w:lang w:val="en-US"/>
        </w:rPr>
        <w:t>– this is where a tenant lets out their home without the knowledge or permission of their landlord. Detection in this area is difficult as the original tenant often continues to pay the rent for the property directly to their landlord, but charge the person they are subletting to a much higher rent.</w:t>
      </w:r>
    </w:p>
    <w:p w:rsidR="00791F80" w:rsidRPr="007A152C" w:rsidRDefault="00791F80" w:rsidP="00791F80">
      <w:pPr>
        <w:pStyle w:val="ListParagraph"/>
        <w:numPr>
          <w:ilvl w:val="0"/>
          <w:numId w:val="3"/>
        </w:numPr>
        <w:jc w:val="both"/>
        <w:rPr>
          <w:rFonts w:ascii="Arial" w:hAnsi="Arial" w:cs="Arial"/>
          <w:sz w:val="24"/>
          <w:szCs w:val="24"/>
          <w:lang w:val="en-US"/>
        </w:rPr>
      </w:pPr>
      <w:r w:rsidRPr="007A152C">
        <w:rPr>
          <w:rFonts w:ascii="Arial" w:hAnsi="Arial" w:cs="Arial"/>
          <w:color w:val="4472C4" w:themeColor="accent5"/>
          <w:sz w:val="24"/>
          <w:szCs w:val="24"/>
          <w:lang w:val="en-US"/>
        </w:rPr>
        <w:t xml:space="preserve">Unlawful assignment </w:t>
      </w:r>
      <w:r w:rsidRPr="007A152C">
        <w:rPr>
          <w:rFonts w:ascii="Arial" w:hAnsi="Arial" w:cs="Arial"/>
          <w:sz w:val="24"/>
          <w:szCs w:val="24"/>
          <w:lang w:val="en-US"/>
        </w:rPr>
        <w:t>– this is where a tenant stops using their tenancy as their main or principal home, allowing another person to live there without their landlord’s permission.</w:t>
      </w:r>
    </w:p>
    <w:p w:rsidR="00791F80" w:rsidRPr="007A152C" w:rsidRDefault="00791F80" w:rsidP="00791F80">
      <w:pPr>
        <w:pStyle w:val="ListParagraph"/>
        <w:numPr>
          <w:ilvl w:val="0"/>
          <w:numId w:val="3"/>
        </w:numPr>
        <w:jc w:val="both"/>
        <w:rPr>
          <w:rFonts w:ascii="Arial" w:hAnsi="Arial" w:cs="Arial"/>
          <w:sz w:val="24"/>
          <w:szCs w:val="24"/>
          <w:lang w:val="en-US"/>
        </w:rPr>
      </w:pPr>
      <w:r w:rsidRPr="007A152C">
        <w:rPr>
          <w:rFonts w:ascii="Arial" w:hAnsi="Arial" w:cs="Arial"/>
          <w:color w:val="4472C4" w:themeColor="accent5"/>
          <w:sz w:val="24"/>
          <w:szCs w:val="24"/>
          <w:lang w:val="en-US"/>
        </w:rPr>
        <w:t xml:space="preserve">Obtaining housing by deception </w:t>
      </w:r>
      <w:r w:rsidRPr="007A152C">
        <w:rPr>
          <w:rFonts w:ascii="Arial" w:hAnsi="Arial" w:cs="Arial"/>
          <w:sz w:val="24"/>
          <w:szCs w:val="24"/>
          <w:lang w:val="en-US"/>
        </w:rPr>
        <w:t xml:space="preserve">– this is where a person(s) obtains a tenancy via the local authority or housing association by giving false information in their application for housing, for example not declaring that they are renting another social housing property or own their own home or by giving false information about who lives with them. This is an offence under Part 7 of the Housing Act 1996. For our housing with extra care this could also include giving false information about existing care or support needs. </w:t>
      </w:r>
    </w:p>
    <w:p w:rsidR="00791F80" w:rsidRPr="007A152C" w:rsidRDefault="00791F80" w:rsidP="00791F80">
      <w:pPr>
        <w:pStyle w:val="ListParagraph"/>
        <w:numPr>
          <w:ilvl w:val="0"/>
          <w:numId w:val="3"/>
        </w:numPr>
        <w:jc w:val="both"/>
        <w:rPr>
          <w:rFonts w:ascii="Arial" w:hAnsi="Arial" w:cs="Arial"/>
          <w:sz w:val="24"/>
          <w:szCs w:val="24"/>
          <w:lang w:val="en-US"/>
        </w:rPr>
      </w:pPr>
      <w:r w:rsidRPr="007A152C">
        <w:rPr>
          <w:rFonts w:ascii="Arial" w:hAnsi="Arial" w:cs="Arial"/>
          <w:color w:val="4472C4" w:themeColor="accent5"/>
          <w:sz w:val="24"/>
          <w:szCs w:val="24"/>
          <w:lang w:val="en-US"/>
        </w:rPr>
        <w:t xml:space="preserve">Tenancy succession by deception </w:t>
      </w:r>
      <w:r w:rsidRPr="007A152C">
        <w:rPr>
          <w:rFonts w:ascii="Arial" w:hAnsi="Arial" w:cs="Arial"/>
          <w:sz w:val="24"/>
          <w:szCs w:val="24"/>
          <w:lang w:val="en-US"/>
        </w:rPr>
        <w:t xml:space="preserve">– this is where a tenant dies and someone who is not eligible tries to succeed the tenancy. </w:t>
      </w:r>
    </w:p>
    <w:p w:rsidR="00791F80" w:rsidRPr="007A152C" w:rsidRDefault="00791F80" w:rsidP="00791F80">
      <w:pPr>
        <w:pStyle w:val="ListParagraph"/>
        <w:numPr>
          <w:ilvl w:val="0"/>
          <w:numId w:val="3"/>
        </w:numPr>
        <w:jc w:val="both"/>
        <w:rPr>
          <w:rFonts w:ascii="Arial" w:hAnsi="Arial" w:cs="Arial"/>
          <w:sz w:val="24"/>
          <w:szCs w:val="24"/>
          <w:lang w:val="en-US"/>
        </w:rPr>
      </w:pPr>
      <w:r w:rsidRPr="007A152C">
        <w:rPr>
          <w:rFonts w:ascii="Arial" w:hAnsi="Arial" w:cs="Arial"/>
          <w:color w:val="4472C4" w:themeColor="accent5"/>
          <w:sz w:val="24"/>
          <w:szCs w:val="24"/>
          <w:lang w:val="en-US"/>
        </w:rPr>
        <w:t xml:space="preserve">Key selling </w:t>
      </w:r>
      <w:r w:rsidRPr="007A152C">
        <w:rPr>
          <w:rFonts w:ascii="Arial" w:hAnsi="Arial" w:cs="Arial"/>
          <w:sz w:val="24"/>
          <w:szCs w:val="24"/>
          <w:lang w:val="en-US"/>
        </w:rPr>
        <w:t>– this is where the legal tenant is paid a one-off payment to pass on their keys. Tenancy fraud may prevent an eligible</w:t>
      </w:r>
      <w:r w:rsidRPr="00111847">
        <w:rPr>
          <w:rFonts w:ascii="Arial" w:hAnsi="Arial" w:cs="Arial"/>
          <w:lang w:val="en-US"/>
        </w:rPr>
        <w:t xml:space="preserve"> </w:t>
      </w:r>
      <w:r w:rsidRPr="007A152C">
        <w:rPr>
          <w:rFonts w:ascii="Arial" w:hAnsi="Arial" w:cs="Arial"/>
          <w:sz w:val="24"/>
          <w:szCs w:val="24"/>
          <w:lang w:val="en-US"/>
        </w:rPr>
        <w:t xml:space="preserve">household in need of accommodation from being housed. </w:t>
      </w:r>
    </w:p>
    <w:p w:rsidR="005542CD" w:rsidRDefault="005542CD" w:rsidP="004E59A1">
      <w:pPr>
        <w:spacing w:after="0" w:line="240" w:lineRule="auto"/>
        <w:jc w:val="both"/>
        <w:rPr>
          <w:rFonts w:ascii="Arial" w:hAnsi="Arial" w:cs="Arial"/>
          <w:color w:val="4472C4" w:themeColor="accent5"/>
          <w:sz w:val="24"/>
          <w:szCs w:val="24"/>
          <w:lang w:val="en-US"/>
        </w:rPr>
      </w:pPr>
    </w:p>
    <w:p w:rsidR="00791F80" w:rsidRDefault="00791F80" w:rsidP="00791F80">
      <w:pPr>
        <w:jc w:val="both"/>
        <w:rPr>
          <w:rFonts w:ascii="Arial" w:hAnsi="Arial" w:cs="Arial"/>
          <w:b/>
          <w:color w:val="4472C4" w:themeColor="accent5"/>
          <w:sz w:val="24"/>
          <w:szCs w:val="24"/>
          <w:lang w:val="en-US"/>
        </w:rPr>
      </w:pPr>
      <w:r w:rsidRPr="00112898">
        <w:rPr>
          <w:rFonts w:ascii="Arial" w:hAnsi="Arial" w:cs="Arial"/>
          <w:b/>
          <w:color w:val="4472C4" w:themeColor="accent5"/>
          <w:sz w:val="24"/>
          <w:szCs w:val="24"/>
          <w:lang w:val="en-US"/>
        </w:rPr>
        <w:t>Why it's important to tackle tenancy fraud</w:t>
      </w:r>
    </w:p>
    <w:p w:rsidR="000913F2" w:rsidRPr="00791F80" w:rsidRDefault="000913F2" w:rsidP="004E59A1">
      <w:pPr>
        <w:spacing w:after="0" w:line="240" w:lineRule="auto"/>
        <w:jc w:val="both"/>
        <w:rPr>
          <w:rFonts w:ascii="Arial" w:hAnsi="Arial" w:cs="Arial"/>
          <w:b/>
          <w:color w:val="4472C4" w:themeColor="accent5"/>
          <w:sz w:val="24"/>
          <w:szCs w:val="24"/>
          <w:lang w:val="en-US"/>
        </w:rPr>
      </w:pPr>
    </w:p>
    <w:p w:rsidR="00791F80" w:rsidRPr="00791F80" w:rsidRDefault="00791F80" w:rsidP="00791F80">
      <w:pPr>
        <w:spacing w:after="0" w:line="240" w:lineRule="auto"/>
        <w:jc w:val="both"/>
        <w:textAlignment w:val="baseline"/>
        <w:rPr>
          <w:rFonts w:ascii="Arial" w:hAnsi="Arial" w:cs="Arial"/>
          <w:sz w:val="24"/>
          <w:szCs w:val="24"/>
          <w:lang w:val="en-US"/>
        </w:rPr>
      </w:pPr>
      <w:r w:rsidRPr="00791F80">
        <w:rPr>
          <w:rFonts w:ascii="Arial" w:hAnsi="Arial" w:cs="Arial"/>
          <w:sz w:val="24"/>
          <w:szCs w:val="24"/>
          <w:lang w:val="en-US"/>
        </w:rPr>
        <w:t xml:space="preserve">Social housing is a valuable asset to the public and often a lifeline to the people it's meant for, given the desperate shortage of affordable homes. Housing associations </w:t>
      </w:r>
      <w:r w:rsidRPr="007A152C">
        <w:rPr>
          <w:rFonts w:ascii="Arial" w:hAnsi="Arial" w:cs="Arial"/>
          <w:sz w:val="24"/>
          <w:szCs w:val="24"/>
          <w:lang w:val="en-US"/>
        </w:rPr>
        <w:t xml:space="preserve">have to make sure </w:t>
      </w:r>
      <w:r w:rsidRPr="00791F80">
        <w:rPr>
          <w:rFonts w:ascii="Arial" w:hAnsi="Arial" w:cs="Arial"/>
          <w:sz w:val="24"/>
          <w:szCs w:val="24"/>
          <w:lang w:val="en-US"/>
        </w:rPr>
        <w:t>that they make the</w:t>
      </w:r>
      <w:r w:rsidRPr="007A152C">
        <w:rPr>
          <w:rFonts w:ascii="Arial" w:hAnsi="Arial" w:cs="Arial"/>
          <w:sz w:val="24"/>
          <w:szCs w:val="24"/>
          <w:lang w:val="en-US"/>
        </w:rPr>
        <w:t xml:space="preserve"> best use of the homes they own </w:t>
      </w:r>
      <w:r w:rsidRPr="00791F80">
        <w:rPr>
          <w:rFonts w:ascii="Arial" w:hAnsi="Arial" w:cs="Arial"/>
          <w:sz w:val="24"/>
          <w:szCs w:val="24"/>
          <w:lang w:val="en-US"/>
        </w:rPr>
        <w:t>and ensure that the people living there are legally entitled to be there. People who are already in need of social housing and on the waiting lis</w:t>
      </w:r>
      <w:r w:rsidRPr="007A152C">
        <w:rPr>
          <w:rFonts w:ascii="Arial" w:hAnsi="Arial" w:cs="Arial"/>
          <w:sz w:val="24"/>
          <w:szCs w:val="24"/>
          <w:lang w:val="en-US"/>
        </w:rPr>
        <w:t xml:space="preserve">t will have to wait even longer </w:t>
      </w:r>
      <w:r w:rsidRPr="00791F80">
        <w:rPr>
          <w:rFonts w:ascii="Arial" w:hAnsi="Arial" w:cs="Arial"/>
          <w:sz w:val="24"/>
          <w:szCs w:val="24"/>
          <w:lang w:val="en-US"/>
        </w:rPr>
        <w:t>if homes continue to be occupied by p</w:t>
      </w:r>
      <w:r w:rsidRPr="007A152C">
        <w:rPr>
          <w:rFonts w:ascii="Arial" w:hAnsi="Arial" w:cs="Arial"/>
          <w:sz w:val="24"/>
          <w:szCs w:val="24"/>
          <w:lang w:val="en-US"/>
        </w:rPr>
        <w:t xml:space="preserve">eople who have no right to live </w:t>
      </w:r>
      <w:r w:rsidRPr="00791F80">
        <w:rPr>
          <w:rFonts w:ascii="Arial" w:hAnsi="Arial" w:cs="Arial"/>
          <w:sz w:val="24"/>
          <w:szCs w:val="24"/>
          <w:lang w:val="en-US"/>
        </w:rPr>
        <w:t>there.</w:t>
      </w:r>
    </w:p>
    <w:p w:rsidR="00791F80" w:rsidRPr="007A152C" w:rsidRDefault="00791F80" w:rsidP="004E59A1">
      <w:pPr>
        <w:spacing w:after="0" w:line="240" w:lineRule="auto"/>
        <w:jc w:val="both"/>
        <w:textAlignment w:val="baseline"/>
        <w:rPr>
          <w:rFonts w:ascii="Arial" w:hAnsi="Arial" w:cs="Arial"/>
          <w:sz w:val="24"/>
          <w:szCs w:val="24"/>
          <w:lang w:val="en-US"/>
        </w:rPr>
      </w:pPr>
    </w:p>
    <w:p w:rsidR="00791F80" w:rsidRDefault="00791F80" w:rsidP="00791F80">
      <w:pPr>
        <w:jc w:val="both"/>
        <w:rPr>
          <w:rFonts w:ascii="Arial" w:hAnsi="Arial" w:cs="Arial"/>
          <w:b/>
          <w:color w:val="4472C4" w:themeColor="accent5"/>
          <w:sz w:val="24"/>
          <w:szCs w:val="24"/>
          <w:lang w:val="en-US"/>
        </w:rPr>
      </w:pPr>
      <w:r w:rsidRPr="00112898">
        <w:rPr>
          <w:rFonts w:ascii="Arial" w:hAnsi="Arial" w:cs="Arial"/>
          <w:b/>
          <w:color w:val="4472C4" w:themeColor="accent5"/>
          <w:sz w:val="24"/>
          <w:szCs w:val="24"/>
          <w:lang w:val="en-US"/>
        </w:rPr>
        <w:t>What we do to tackle tenancy fraud</w:t>
      </w:r>
    </w:p>
    <w:p w:rsidR="004E59A1" w:rsidRPr="00791F80" w:rsidRDefault="004E59A1" w:rsidP="004E59A1">
      <w:pPr>
        <w:spacing w:after="0" w:line="240" w:lineRule="auto"/>
        <w:jc w:val="both"/>
        <w:rPr>
          <w:rFonts w:ascii="Arial" w:hAnsi="Arial" w:cs="Arial"/>
          <w:b/>
          <w:color w:val="4472C4" w:themeColor="accent5"/>
          <w:sz w:val="24"/>
          <w:szCs w:val="24"/>
          <w:lang w:val="en-US"/>
        </w:rPr>
      </w:pPr>
    </w:p>
    <w:p w:rsidR="00791F80" w:rsidRPr="00791F80" w:rsidRDefault="00791F80" w:rsidP="00791F80">
      <w:pPr>
        <w:spacing w:after="0" w:line="240" w:lineRule="auto"/>
        <w:jc w:val="both"/>
        <w:textAlignment w:val="baseline"/>
        <w:rPr>
          <w:rFonts w:ascii="Arial" w:hAnsi="Arial" w:cs="Arial"/>
          <w:sz w:val="24"/>
          <w:szCs w:val="24"/>
          <w:lang w:val="en-US"/>
        </w:rPr>
      </w:pPr>
      <w:r w:rsidRPr="00791F80">
        <w:rPr>
          <w:rFonts w:ascii="Arial" w:hAnsi="Arial" w:cs="Arial"/>
          <w:sz w:val="24"/>
          <w:szCs w:val="24"/>
          <w:lang w:val="en-US"/>
        </w:rPr>
        <w:t>We take tenancy fraud very seriously and will take action to regain possession of properties and recover any unl</w:t>
      </w:r>
      <w:r w:rsidRPr="007A152C">
        <w:rPr>
          <w:rFonts w:ascii="Arial" w:hAnsi="Arial" w:cs="Arial"/>
          <w:sz w:val="24"/>
          <w:szCs w:val="24"/>
          <w:lang w:val="en-US"/>
        </w:rPr>
        <w:t xml:space="preserve">awful profits made by residents </w:t>
      </w:r>
      <w:r w:rsidRPr="00791F80">
        <w:rPr>
          <w:rFonts w:ascii="Arial" w:hAnsi="Arial" w:cs="Arial"/>
          <w:sz w:val="24"/>
          <w:szCs w:val="24"/>
          <w:lang w:val="en-US"/>
        </w:rPr>
        <w:t xml:space="preserve">wherever we </w:t>
      </w:r>
      <w:r w:rsidRPr="007A152C">
        <w:rPr>
          <w:rFonts w:ascii="Arial" w:hAnsi="Arial" w:cs="Arial"/>
          <w:sz w:val="24"/>
          <w:szCs w:val="24"/>
          <w:lang w:val="en-US"/>
        </w:rPr>
        <w:t>find evidence of tenancy fraud. Our right to do this has been enforced by the government in The Prevention of Social Housing Fraud Act 2013. The introduction of this Act made tenancy fraud a criminal offence, which in the very worst instances could result in 2 years in prison and or a maximum of £50,000 in fines.</w:t>
      </w:r>
    </w:p>
    <w:p w:rsidR="005542CD" w:rsidRPr="007A152C" w:rsidRDefault="005542CD" w:rsidP="00791F80">
      <w:pPr>
        <w:spacing w:after="0" w:line="240" w:lineRule="auto"/>
        <w:jc w:val="both"/>
        <w:textAlignment w:val="baseline"/>
        <w:rPr>
          <w:rFonts w:ascii="Arial" w:hAnsi="Arial" w:cs="Arial"/>
          <w:sz w:val="24"/>
          <w:szCs w:val="24"/>
          <w:lang w:val="en-US"/>
        </w:rPr>
      </w:pPr>
    </w:p>
    <w:p w:rsidR="00791F80" w:rsidRDefault="00791F80" w:rsidP="00791F80">
      <w:pPr>
        <w:spacing w:after="0" w:line="240" w:lineRule="auto"/>
        <w:jc w:val="both"/>
        <w:textAlignment w:val="baseline"/>
        <w:rPr>
          <w:rFonts w:ascii="Arial" w:hAnsi="Arial" w:cs="Arial"/>
          <w:sz w:val="24"/>
          <w:szCs w:val="24"/>
          <w:lang w:val="en-US"/>
        </w:rPr>
      </w:pPr>
      <w:r w:rsidRPr="007A152C">
        <w:rPr>
          <w:rFonts w:ascii="Arial" w:hAnsi="Arial" w:cs="Arial"/>
          <w:sz w:val="24"/>
          <w:szCs w:val="24"/>
          <w:lang w:val="en-US"/>
        </w:rPr>
        <w:t>We:</w:t>
      </w:r>
    </w:p>
    <w:p w:rsidR="005542CD" w:rsidRPr="007A152C" w:rsidRDefault="005542CD" w:rsidP="00791F80">
      <w:pPr>
        <w:spacing w:after="0" w:line="240" w:lineRule="auto"/>
        <w:jc w:val="both"/>
        <w:textAlignment w:val="baseline"/>
        <w:rPr>
          <w:rFonts w:ascii="Arial" w:hAnsi="Arial" w:cs="Arial"/>
          <w:sz w:val="24"/>
          <w:szCs w:val="24"/>
          <w:lang w:val="en-US"/>
        </w:rPr>
      </w:pPr>
    </w:p>
    <w:p w:rsidR="00791F80" w:rsidRPr="007A152C" w:rsidRDefault="00791F80" w:rsidP="00791F80">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Encourage all of our staff to be aware of, and alert to fraud.</w:t>
      </w:r>
    </w:p>
    <w:p w:rsidR="00791F80" w:rsidRPr="007A152C" w:rsidRDefault="00791F80" w:rsidP="00791F80">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 xml:space="preserve">Carry out a range of checks on people wishing to join our housing waiting list, including identification checks.  </w:t>
      </w:r>
    </w:p>
    <w:p w:rsidR="00791F80" w:rsidRPr="007A152C" w:rsidRDefault="00791F80" w:rsidP="00791F80">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Carefully consider applicants housing needs prior to offering them a property with us.</w:t>
      </w:r>
    </w:p>
    <w:p w:rsidR="00791F80" w:rsidRPr="007A152C" w:rsidRDefault="00791F80" w:rsidP="00791F80">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Work with other agencies, such as Local Authorities to prevent housing tenancy</w:t>
      </w:r>
      <w:r w:rsidR="004E59A1">
        <w:rPr>
          <w:rFonts w:ascii="Arial" w:hAnsi="Arial" w:cs="Arial"/>
          <w:sz w:val="24"/>
          <w:szCs w:val="24"/>
          <w:lang w:val="en-US"/>
        </w:rPr>
        <w:t xml:space="preserve"> </w:t>
      </w:r>
      <w:r w:rsidRPr="007A152C">
        <w:rPr>
          <w:rFonts w:ascii="Arial" w:hAnsi="Arial" w:cs="Arial"/>
          <w:sz w:val="24"/>
          <w:szCs w:val="24"/>
          <w:lang w:val="en-US"/>
        </w:rPr>
        <w:t>fraud, including housing benefit fraud.</w:t>
      </w:r>
    </w:p>
    <w:p w:rsidR="00791F80" w:rsidRPr="007A152C" w:rsidRDefault="00791F80" w:rsidP="00791F80">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Investigate any reports that a tenant has abandoned their home and take appropriate legal action where necessary.</w:t>
      </w:r>
    </w:p>
    <w:p w:rsidR="00791F80" w:rsidRPr="007A152C" w:rsidRDefault="007A152C" w:rsidP="00791F80">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Will respond</w:t>
      </w:r>
      <w:r w:rsidR="00791F80" w:rsidRPr="007A152C">
        <w:rPr>
          <w:rFonts w:ascii="Arial" w:hAnsi="Arial" w:cs="Arial"/>
          <w:sz w:val="24"/>
          <w:szCs w:val="24"/>
          <w:lang w:val="en-US"/>
        </w:rPr>
        <w:t xml:space="preserve"> </w:t>
      </w:r>
      <w:r w:rsidRPr="007A152C">
        <w:rPr>
          <w:rFonts w:ascii="Arial" w:hAnsi="Arial" w:cs="Arial"/>
          <w:sz w:val="24"/>
          <w:szCs w:val="24"/>
          <w:lang w:val="en-US"/>
        </w:rPr>
        <w:t xml:space="preserve">promptly </w:t>
      </w:r>
      <w:r w:rsidR="00791F80" w:rsidRPr="007A152C">
        <w:rPr>
          <w:rFonts w:ascii="Arial" w:hAnsi="Arial" w:cs="Arial"/>
          <w:sz w:val="24"/>
          <w:szCs w:val="24"/>
          <w:lang w:val="en-US"/>
        </w:rPr>
        <w:t xml:space="preserve">to </w:t>
      </w:r>
      <w:r w:rsidRPr="007A152C">
        <w:rPr>
          <w:rFonts w:ascii="Arial" w:hAnsi="Arial" w:cs="Arial"/>
          <w:sz w:val="24"/>
          <w:szCs w:val="24"/>
          <w:lang w:val="en-US"/>
        </w:rPr>
        <w:t xml:space="preserve">any </w:t>
      </w:r>
      <w:r w:rsidR="00791F80" w:rsidRPr="007A152C">
        <w:rPr>
          <w:rFonts w:ascii="Arial" w:hAnsi="Arial" w:cs="Arial"/>
          <w:sz w:val="24"/>
          <w:szCs w:val="24"/>
          <w:lang w:val="en-US"/>
        </w:rPr>
        <w:t>reports of housing tenancy fraud taking appropriate action to stop it, including pursuing legal interventions where deemed necessary. Any action instigated under the Prevention of Social Housing Fraud Act 2013 would need to be taken by the Local Authority.</w:t>
      </w:r>
    </w:p>
    <w:p w:rsidR="005542CD" w:rsidRDefault="005542CD" w:rsidP="007A152C">
      <w:pPr>
        <w:jc w:val="both"/>
        <w:rPr>
          <w:rFonts w:ascii="Arial" w:hAnsi="Arial" w:cs="Arial"/>
          <w:color w:val="4472C4" w:themeColor="accent5"/>
          <w:sz w:val="24"/>
          <w:szCs w:val="24"/>
          <w:lang w:val="en-US"/>
        </w:rPr>
      </w:pPr>
    </w:p>
    <w:p w:rsidR="005542CD" w:rsidRDefault="00791F80" w:rsidP="00112898">
      <w:pPr>
        <w:jc w:val="both"/>
        <w:rPr>
          <w:rFonts w:ascii="Arial" w:hAnsi="Arial" w:cs="Arial"/>
          <w:b/>
          <w:color w:val="4472C4" w:themeColor="accent5"/>
          <w:sz w:val="24"/>
          <w:szCs w:val="24"/>
          <w:lang w:val="en-US"/>
        </w:rPr>
      </w:pPr>
      <w:r w:rsidRPr="00112898">
        <w:rPr>
          <w:rFonts w:ascii="Arial" w:hAnsi="Arial" w:cs="Arial"/>
          <w:b/>
          <w:color w:val="4472C4" w:themeColor="accent5"/>
          <w:sz w:val="24"/>
          <w:szCs w:val="24"/>
          <w:lang w:val="en-US"/>
        </w:rPr>
        <w:t>What you can do to help</w:t>
      </w:r>
    </w:p>
    <w:p w:rsidR="000913F2" w:rsidRPr="00112898" w:rsidRDefault="000913F2" w:rsidP="00112898">
      <w:pPr>
        <w:jc w:val="both"/>
        <w:rPr>
          <w:rFonts w:ascii="Arial" w:hAnsi="Arial" w:cs="Arial"/>
          <w:b/>
          <w:color w:val="4472C4" w:themeColor="accent5"/>
          <w:sz w:val="24"/>
          <w:szCs w:val="24"/>
          <w:lang w:val="en-US"/>
        </w:rPr>
      </w:pPr>
    </w:p>
    <w:p w:rsidR="00791F80" w:rsidRPr="007A152C" w:rsidRDefault="00791F80" w:rsidP="00791F80">
      <w:pPr>
        <w:spacing w:after="0" w:line="240" w:lineRule="auto"/>
        <w:jc w:val="both"/>
        <w:textAlignment w:val="baseline"/>
        <w:rPr>
          <w:rFonts w:ascii="Arial" w:hAnsi="Arial" w:cs="Arial"/>
          <w:sz w:val="24"/>
          <w:szCs w:val="24"/>
          <w:lang w:val="en-US"/>
        </w:rPr>
      </w:pPr>
      <w:r w:rsidRPr="00791F80">
        <w:rPr>
          <w:rFonts w:ascii="Arial" w:hAnsi="Arial" w:cs="Arial"/>
          <w:sz w:val="24"/>
          <w:szCs w:val="24"/>
          <w:lang w:val="en-US"/>
        </w:rPr>
        <w:t>Do you know someone in a home who is renting it out without permission, got their home by giving false information or is living somewhere else (someone else may be living at the property or it may be empty)? Then they could potential</w:t>
      </w:r>
      <w:r w:rsidR="007A152C" w:rsidRPr="007A152C">
        <w:rPr>
          <w:rFonts w:ascii="Arial" w:hAnsi="Arial" w:cs="Arial"/>
          <w:sz w:val="24"/>
          <w:szCs w:val="24"/>
          <w:lang w:val="en-US"/>
        </w:rPr>
        <w:t xml:space="preserve">ly be committing tenancy fraud, </w:t>
      </w:r>
      <w:r w:rsidRPr="00791F80">
        <w:rPr>
          <w:rFonts w:ascii="Arial" w:hAnsi="Arial" w:cs="Arial"/>
          <w:sz w:val="24"/>
          <w:szCs w:val="24"/>
          <w:lang w:val="en-US"/>
        </w:rPr>
        <w:t>using up valuable housing accommodation and depriving families and vulnerable people who are on the wait</w:t>
      </w:r>
      <w:r w:rsidR="007A152C" w:rsidRPr="007A152C">
        <w:rPr>
          <w:rFonts w:ascii="Arial" w:hAnsi="Arial" w:cs="Arial"/>
          <w:sz w:val="24"/>
          <w:szCs w:val="24"/>
          <w:lang w:val="en-US"/>
        </w:rPr>
        <w:t>ing list.</w:t>
      </w:r>
    </w:p>
    <w:p w:rsidR="007A152C" w:rsidRPr="00791F80" w:rsidRDefault="007A152C" w:rsidP="00791F80">
      <w:pPr>
        <w:spacing w:after="0" w:line="240" w:lineRule="auto"/>
        <w:jc w:val="both"/>
        <w:textAlignment w:val="baseline"/>
        <w:rPr>
          <w:rFonts w:ascii="Arial" w:hAnsi="Arial" w:cs="Arial"/>
          <w:sz w:val="24"/>
          <w:szCs w:val="24"/>
          <w:lang w:val="en-US"/>
        </w:rPr>
      </w:pPr>
    </w:p>
    <w:p w:rsidR="00791F80" w:rsidRPr="007A152C" w:rsidRDefault="00791F80" w:rsidP="00791F80">
      <w:pPr>
        <w:spacing w:after="0" w:line="240" w:lineRule="auto"/>
        <w:jc w:val="both"/>
        <w:textAlignment w:val="baseline"/>
        <w:rPr>
          <w:rFonts w:ascii="Arial" w:hAnsi="Arial" w:cs="Arial"/>
          <w:sz w:val="24"/>
          <w:szCs w:val="24"/>
          <w:lang w:val="en-US"/>
        </w:rPr>
      </w:pPr>
      <w:r w:rsidRPr="00791F80">
        <w:rPr>
          <w:rFonts w:ascii="Arial" w:hAnsi="Arial" w:cs="Arial"/>
          <w:sz w:val="24"/>
          <w:szCs w:val="24"/>
          <w:lang w:val="en-US"/>
        </w:rPr>
        <w:t>There are many ways you can get in touch with us about tenancy fraud:</w:t>
      </w:r>
    </w:p>
    <w:p w:rsidR="007A152C" w:rsidRPr="00791F80" w:rsidRDefault="007A152C" w:rsidP="00791F80">
      <w:pPr>
        <w:spacing w:after="0" w:line="240" w:lineRule="auto"/>
        <w:jc w:val="both"/>
        <w:textAlignment w:val="baseline"/>
        <w:rPr>
          <w:rFonts w:ascii="Arial" w:hAnsi="Arial" w:cs="Arial"/>
          <w:sz w:val="24"/>
          <w:szCs w:val="24"/>
          <w:lang w:val="en-US"/>
        </w:rPr>
      </w:pPr>
    </w:p>
    <w:p w:rsidR="00791F80" w:rsidRPr="00791F80" w:rsidRDefault="007A152C" w:rsidP="007A152C">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Visit our website and c</w:t>
      </w:r>
      <w:r w:rsidR="00791F80" w:rsidRPr="00791F80">
        <w:rPr>
          <w:rFonts w:ascii="Arial" w:hAnsi="Arial" w:cs="Arial"/>
          <w:sz w:val="24"/>
          <w:szCs w:val="24"/>
          <w:lang w:val="en-US"/>
        </w:rPr>
        <w:t xml:space="preserve">omplete our </w:t>
      </w:r>
      <w:r w:rsidRPr="007A152C">
        <w:rPr>
          <w:rFonts w:ascii="Arial" w:hAnsi="Arial" w:cs="Arial"/>
          <w:sz w:val="24"/>
          <w:szCs w:val="24"/>
          <w:lang w:val="en-US"/>
        </w:rPr>
        <w:t>online form.</w:t>
      </w:r>
    </w:p>
    <w:p w:rsidR="00791F80" w:rsidRPr="00791F80" w:rsidRDefault="007A152C" w:rsidP="007A152C">
      <w:pPr>
        <w:pStyle w:val="ListParagraph"/>
        <w:numPr>
          <w:ilvl w:val="0"/>
          <w:numId w:val="4"/>
        </w:numPr>
        <w:jc w:val="both"/>
        <w:rPr>
          <w:rFonts w:ascii="Arial" w:hAnsi="Arial" w:cs="Arial"/>
          <w:sz w:val="24"/>
          <w:szCs w:val="24"/>
          <w:lang w:val="en-US"/>
        </w:rPr>
      </w:pPr>
      <w:r w:rsidRPr="007A152C">
        <w:rPr>
          <w:rFonts w:ascii="Arial" w:hAnsi="Arial" w:cs="Arial"/>
          <w:sz w:val="24"/>
          <w:szCs w:val="24"/>
          <w:lang w:val="en-US"/>
        </w:rPr>
        <w:t>Contact a member of our team and explain your concerns.</w:t>
      </w:r>
    </w:p>
    <w:p w:rsidR="00791F80" w:rsidRPr="00791F80" w:rsidRDefault="00791F80" w:rsidP="007A152C">
      <w:pPr>
        <w:spacing w:after="0" w:line="240" w:lineRule="auto"/>
        <w:jc w:val="both"/>
        <w:textAlignment w:val="baseline"/>
        <w:rPr>
          <w:rFonts w:ascii="Arial" w:hAnsi="Arial" w:cs="Arial"/>
          <w:sz w:val="24"/>
          <w:szCs w:val="24"/>
          <w:lang w:val="en-US"/>
        </w:rPr>
      </w:pPr>
    </w:p>
    <w:p w:rsidR="00791F80" w:rsidRPr="00791F80" w:rsidRDefault="00791F80" w:rsidP="00791F80">
      <w:pPr>
        <w:spacing w:after="0" w:line="240" w:lineRule="auto"/>
        <w:jc w:val="both"/>
        <w:textAlignment w:val="baseline"/>
        <w:rPr>
          <w:rFonts w:ascii="Arial" w:hAnsi="Arial" w:cs="Arial"/>
          <w:sz w:val="24"/>
          <w:szCs w:val="24"/>
          <w:lang w:val="en-US"/>
        </w:rPr>
      </w:pPr>
      <w:r w:rsidRPr="007A152C">
        <w:rPr>
          <w:rFonts w:ascii="Arial" w:hAnsi="Arial" w:cs="Arial"/>
          <w:sz w:val="24"/>
          <w:szCs w:val="24"/>
          <w:lang w:val="en-US"/>
        </w:rPr>
        <w:t>Any information you give us will be treated in the strictest of confidence and your identity will be protected. You can report the suspected fraud anonymously but please give us as much information as possible to help our investigations. The more information that we have the better the chance we have of stopping it.</w:t>
      </w:r>
    </w:p>
    <w:p w:rsidR="007A152C" w:rsidRPr="007A152C" w:rsidRDefault="007A152C" w:rsidP="00791F80">
      <w:pPr>
        <w:spacing w:after="0" w:line="240" w:lineRule="auto"/>
        <w:jc w:val="both"/>
        <w:textAlignment w:val="baseline"/>
        <w:rPr>
          <w:rFonts w:ascii="Arial" w:hAnsi="Arial" w:cs="Arial"/>
          <w:sz w:val="24"/>
          <w:szCs w:val="24"/>
          <w:lang w:val="en-US"/>
        </w:rPr>
      </w:pPr>
    </w:p>
    <w:p w:rsidR="00791F80" w:rsidRPr="00791F80" w:rsidRDefault="00791F80" w:rsidP="00791F80">
      <w:pPr>
        <w:spacing w:after="0" w:line="240" w:lineRule="auto"/>
        <w:jc w:val="both"/>
        <w:textAlignment w:val="baseline"/>
        <w:rPr>
          <w:rFonts w:ascii="Arial" w:hAnsi="Arial" w:cs="Arial"/>
          <w:sz w:val="24"/>
          <w:szCs w:val="24"/>
          <w:lang w:val="en-US"/>
        </w:rPr>
      </w:pPr>
      <w:r w:rsidRPr="007A152C">
        <w:rPr>
          <w:rFonts w:ascii="Arial" w:hAnsi="Arial" w:cs="Arial"/>
          <w:sz w:val="24"/>
          <w:szCs w:val="24"/>
          <w:lang w:val="en-US"/>
        </w:rPr>
        <w:t xml:space="preserve">If you are happy to disclose your contact </w:t>
      </w:r>
      <w:r w:rsidR="004E59A1" w:rsidRPr="007A152C">
        <w:rPr>
          <w:rFonts w:ascii="Arial" w:hAnsi="Arial" w:cs="Arial"/>
          <w:sz w:val="24"/>
          <w:szCs w:val="24"/>
          <w:lang w:val="en-US"/>
        </w:rPr>
        <w:t>details,</w:t>
      </w:r>
      <w:r w:rsidRPr="007A152C">
        <w:rPr>
          <w:rFonts w:ascii="Arial" w:hAnsi="Arial" w:cs="Arial"/>
          <w:sz w:val="24"/>
          <w:szCs w:val="24"/>
          <w:lang w:val="en-US"/>
        </w:rPr>
        <w:t xml:space="preserve"> then this may help if we need to contact you for more information or to clarify something that you have told us.</w:t>
      </w:r>
    </w:p>
    <w:p w:rsidR="00411AE4" w:rsidRPr="007A152C" w:rsidRDefault="007F2970" w:rsidP="00791F80">
      <w:pPr>
        <w:jc w:val="both"/>
        <w:rPr>
          <w:rFonts w:ascii="Arial" w:hAnsi="Arial" w:cs="Arial"/>
          <w:sz w:val="24"/>
          <w:szCs w:val="24"/>
          <w:lang w:val="en-US"/>
        </w:rPr>
      </w:pPr>
    </w:p>
    <w:sectPr w:rsidR="00411AE4" w:rsidRPr="007A15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98" w:rsidRDefault="00112898" w:rsidP="00112898">
      <w:pPr>
        <w:spacing w:after="0" w:line="240" w:lineRule="auto"/>
      </w:pPr>
      <w:r>
        <w:separator/>
      </w:r>
    </w:p>
  </w:endnote>
  <w:endnote w:type="continuationSeparator" w:id="0">
    <w:p w:rsidR="00112898" w:rsidRDefault="00112898" w:rsidP="0011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98" w:rsidRDefault="00112898" w:rsidP="00112898">
      <w:pPr>
        <w:spacing w:after="0" w:line="240" w:lineRule="auto"/>
      </w:pPr>
      <w:r>
        <w:separator/>
      </w:r>
    </w:p>
  </w:footnote>
  <w:footnote w:type="continuationSeparator" w:id="0">
    <w:p w:rsidR="00112898" w:rsidRDefault="00112898" w:rsidP="0011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98" w:rsidRDefault="00112898">
    <w:pPr>
      <w:pStyle w:val="Heade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1435100</wp:posOffset>
              </wp:positionH>
              <wp:positionV relativeFrom="paragraph">
                <wp:posOffset>52070</wp:posOffset>
              </wp:positionV>
              <wp:extent cx="4311650" cy="8509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431165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2898" w:rsidRPr="00112898" w:rsidRDefault="00112898" w:rsidP="00112898">
                          <w:pPr>
                            <w:jc w:val="center"/>
                            <w:rPr>
                              <w:rFonts w:ascii="Arial" w:hAnsi="Arial" w:cs="Arial"/>
                              <w:sz w:val="56"/>
                              <w:szCs w:val="56"/>
                              <w:lang w:val="en-US"/>
                            </w:rPr>
                          </w:pPr>
                          <w:r w:rsidRPr="00112898">
                            <w:rPr>
                              <w:rFonts w:ascii="Arial" w:hAnsi="Arial" w:cs="Arial"/>
                              <w:sz w:val="56"/>
                              <w:szCs w:val="56"/>
                              <w:lang w:val="en-US"/>
                            </w:rPr>
                            <w:t>Social Housing Fraud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3pt;margin-top:4.1pt;width:339.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" fillcolor="#5b9bd5 [3204]" strokecolor="#1f4d78 [1604]" strokeweight="1pt">
              <v:textbox>
                <w:txbxContent>
                  <w:p w:rsidR="00112898" w:rsidRPr="00112898" w:rsidRDefault="00112898" w:rsidP="00112898">
                    <w:pPr>
                      <w:jc w:val="center"/>
                      <w:rPr>
                        <w:rFonts w:ascii="Arial" w:hAnsi="Arial" w:cs="Arial"/>
                        <w:sz w:val="56"/>
                        <w:szCs w:val="56"/>
                        <w:lang w:val="en-US"/>
                      </w:rPr>
                    </w:pPr>
                    <w:r w:rsidRPr="00112898">
                      <w:rPr>
                        <w:rFonts w:ascii="Arial" w:hAnsi="Arial" w:cs="Arial"/>
                        <w:sz w:val="56"/>
                        <w:szCs w:val="56"/>
                        <w:lang w:val="en-US"/>
                      </w:rPr>
                      <w:t>Social Housing Fraud</w:t>
                    </w:r>
                  </w:p>
                </w:txbxContent>
              </v:textbox>
            </v:rect>
          </w:pict>
        </mc:Fallback>
      </mc:AlternateContent>
    </w:r>
    <w:r w:rsidRPr="00E618B4">
      <w:rPr>
        <w:rFonts w:ascii="Arial" w:hAnsi="Arial" w:cs="Arial"/>
        <w:b/>
        <w:noProof/>
        <w:lang w:eastAsia="en-GB"/>
      </w:rPr>
      <w:drawing>
        <wp:inline distT="0" distB="0" distL="0" distR="0" wp14:anchorId="3EC8D169" wp14:editId="3916915F">
          <wp:extent cx="1345997" cy="922020"/>
          <wp:effectExtent l="0" t="0" r="6985" b="0"/>
          <wp:docPr id="1" name="Picture 1" descr="C:\Users\edonaldson\AppData\Local\Microsoft\Windows\INetCache\Content.Outlook\Q3RM98Q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naldson\AppData\Local\Microsoft\Windows\INetCache\Content.Outlook\Q3RM98QY\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114" cy="954981"/>
                  </a:xfrm>
                  <a:prstGeom prst="rect">
                    <a:avLst/>
                  </a:prstGeom>
                  <a:noFill/>
                  <a:ln>
                    <a:noFill/>
                  </a:ln>
                </pic:spPr>
              </pic:pic>
            </a:graphicData>
          </a:graphic>
        </wp:inline>
      </w:drawing>
    </w:r>
  </w:p>
  <w:p w:rsidR="00112898" w:rsidRDefault="001128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699"/>
    <w:multiLevelType w:val="multilevel"/>
    <w:tmpl w:val="B866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26149"/>
    <w:multiLevelType w:val="multilevel"/>
    <w:tmpl w:val="D0D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C6971"/>
    <w:multiLevelType w:val="hybridMultilevel"/>
    <w:tmpl w:val="A4583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BF7431"/>
    <w:multiLevelType w:val="hybridMultilevel"/>
    <w:tmpl w:val="ADD6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80"/>
    <w:rsid w:val="000913F2"/>
    <w:rsid w:val="000D7122"/>
    <w:rsid w:val="00112898"/>
    <w:rsid w:val="004E59A1"/>
    <w:rsid w:val="005542CD"/>
    <w:rsid w:val="00791F80"/>
    <w:rsid w:val="007A152C"/>
    <w:rsid w:val="007F2970"/>
    <w:rsid w:val="009B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DADBF3-B430-41E2-A482-9B2E64A7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F80"/>
    <w:pPr>
      <w:spacing w:after="0" w:line="240" w:lineRule="auto"/>
      <w:textAlignment w:val="baseline"/>
      <w:outlineLvl w:val="0"/>
    </w:pPr>
    <w:rPr>
      <w:rFonts w:ascii="Helvetica" w:eastAsia="Times New Roman" w:hAnsi="Helvetica" w:cs="Helvetica"/>
      <w:color w:val="7D429A"/>
      <w:spacing w:val="-12"/>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F80"/>
    <w:rPr>
      <w:rFonts w:ascii="Helvetica" w:eastAsia="Times New Roman" w:hAnsi="Helvetica" w:cs="Helvetica"/>
      <w:color w:val="7D429A"/>
      <w:spacing w:val="-12"/>
      <w:kern w:val="36"/>
      <w:sz w:val="39"/>
      <w:szCs w:val="39"/>
      <w:lang w:eastAsia="en-GB"/>
    </w:rPr>
  </w:style>
  <w:style w:type="character" w:styleId="Hyperlink">
    <w:name w:val="Hyperlink"/>
    <w:basedOn w:val="DefaultParagraphFont"/>
    <w:uiPriority w:val="99"/>
    <w:semiHidden/>
    <w:unhideWhenUsed/>
    <w:rsid w:val="00791F80"/>
    <w:rPr>
      <w:strike w:val="0"/>
      <w:dstrike w:val="0"/>
      <w:color w:val="7D429A"/>
      <w:sz w:val="24"/>
      <w:szCs w:val="24"/>
      <w:u w:val="none"/>
      <w:effect w:val="none"/>
      <w:bdr w:val="none" w:sz="0" w:space="0" w:color="auto" w:frame="1"/>
      <w:vertAlign w:val="baseline"/>
    </w:rPr>
  </w:style>
  <w:style w:type="character" w:styleId="Emphasis">
    <w:name w:val="Emphasis"/>
    <w:basedOn w:val="DefaultParagraphFont"/>
    <w:uiPriority w:val="20"/>
    <w:qFormat/>
    <w:rsid w:val="00791F80"/>
    <w:rPr>
      <w:i/>
      <w:iCs/>
      <w:sz w:val="24"/>
      <w:szCs w:val="24"/>
      <w:bdr w:val="none" w:sz="0" w:space="0" w:color="auto" w:frame="1"/>
      <w:vertAlign w:val="baseline"/>
    </w:rPr>
  </w:style>
  <w:style w:type="character" w:styleId="Strong">
    <w:name w:val="Strong"/>
    <w:basedOn w:val="DefaultParagraphFont"/>
    <w:uiPriority w:val="22"/>
    <w:qFormat/>
    <w:rsid w:val="00791F80"/>
    <w:rPr>
      <w:b/>
      <w:bCs/>
      <w:sz w:val="24"/>
      <w:szCs w:val="24"/>
      <w:bdr w:val="none" w:sz="0" w:space="0" w:color="auto" w:frame="1"/>
      <w:vertAlign w:val="baseline"/>
    </w:rPr>
  </w:style>
  <w:style w:type="paragraph" w:styleId="NormalWeb">
    <w:name w:val="Normal (Web)"/>
    <w:basedOn w:val="Normal"/>
    <w:uiPriority w:val="99"/>
    <w:semiHidden/>
    <w:unhideWhenUsed/>
    <w:rsid w:val="00791F80"/>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1F80"/>
    <w:pPr>
      <w:ind w:left="720"/>
      <w:contextualSpacing/>
    </w:pPr>
  </w:style>
  <w:style w:type="paragraph" w:styleId="Header">
    <w:name w:val="header"/>
    <w:basedOn w:val="Normal"/>
    <w:link w:val="HeaderChar"/>
    <w:uiPriority w:val="99"/>
    <w:unhideWhenUsed/>
    <w:rsid w:val="0011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98"/>
  </w:style>
  <w:style w:type="paragraph" w:styleId="Footer">
    <w:name w:val="footer"/>
    <w:basedOn w:val="Normal"/>
    <w:link w:val="FooterChar"/>
    <w:uiPriority w:val="99"/>
    <w:unhideWhenUsed/>
    <w:rsid w:val="0011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5682">
      <w:bodyDiv w:val="1"/>
      <w:marLeft w:val="0"/>
      <w:marRight w:val="0"/>
      <w:marTop w:val="0"/>
      <w:marBottom w:val="0"/>
      <w:divBdr>
        <w:top w:val="none" w:sz="0" w:space="0" w:color="auto"/>
        <w:left w:val="none" w:sz="0" w:space="0" w:color="auto"/>
        <w:bottom w:val="none" w:sz="0" w:space="0" w:color="auto"/>
        <w:right w:val="none" w:sz="0" w:space="0" w:color="auto"/>
      </w:divBdr>
      <w:divsChild>
        <w:div w:id="1540783381">
          <w:marLeft w:val="0"/>
          <w:marRight w:val="0"/>
          <w:marTop w:val="0"/>
          <w:marBottom w:val="0"/>
          <w:divBdr>
            <w:top w:val="none" w:sz="0" w:space="0" w:color="auto"/>
            <w:left w:val="none" w:sz="0" w:space="0" w:color="auto"/>
            <w:bottom w:val="none" w:sz="0" w:space="0" w:color="auto"/>
            <w:right w:val="none" w:sz="0" w:space="0" w:color="auto"/>
          </w:divBdr>
          <w:divsChild>
            <w:div w:id="1320769578">
              <w:marLeft w:val="0"/>
              <w:marRight w:val="0"/>
              <w:marTop w:val="0"/>
              <w:marBottom w:val="0"/>
              <w:divBdr>
                <w:top w:val="none" w:sz="0" w:space="0" w:color="auto"/>
                <w:left w:val="none" w:sz="0" w:space="0" w:color="auto"/>
                <w:bottom w:val="none" w:sz="0" w:space="0" w:color="auto"/>
                <w:right w:val="none" w:sz="0" w:space="0" w:color="auto"/>
              </w:divBdr>
              <w:divsChild>
                <w:div w:id="1766264138">
                  <w:marLeft w:val="0"/>
                  <w:marRight w:val="0"/>
                  <w:marTop w:val="0"/>
                  <w:marBottom w:val="0"/>
                  <w:divBdr>
                    <w:top w:val="none" w:sz="0" w:space="0" w:color="auto"/>
                    <w:left w:val="none" w:sz="0" w:space="0" w:color="auto"/>
                    <w:bottom w:val="none" w:sz="0" w:space="0" w:color="auto"/>
                    <w:right w:val="none" w:sz="0" w:space="0" w:color="auto"/>
                  </w:divBdr>
                  <w:divsChild>
                    <w:div w:id="973487234">
                      <w:marLeft w:val="150"/>
                      <w:marRight w:val="150"/>
                      <w:marTop w:val="0"/>
                      <w:marBottom w:val="0"/>
                      <w:divBdr>
                        <w:top w:val="none" w:sz="0" w:space="0" w:color="auto"/>
                        <w:left w:val="none" w:sz="0" w:space="0" w:color="auto"/>
                        <w:bottom w:val="none" w:sz="0" w:space="0" w:color="auto"/>
                        <w:right w:val="none" w:sz="0" w:space="0" w:color="auto"/>
                      </w:divBdr>
                      <w:divsChild>
                        <w:div w:id="1615674567">
                          <w:marLeft w:val="0"/>
                          <w:marRight w:val="0"/>
                          <w:marTop w:val="0"/>
                          <w:marBottom w:val="0"/>
                          <w:divBdr>
                            <w:top w:val="none" w:sz="0" w:space="0" w:color="auto"/>
                            <w:left w:val="none" w:sz="0" w:space="0" w:color="auto"/>
                            <w:bottom w:val="none" w:sz="0" w:space="0" w:color="auto"/>
                            <w:right w:val="none" w:sz="0" w:space="0" w:color="auto"/>
                          </w:divBdr>
                          <w:divsChild>
                            <w:div w:id="2120686329">
                              <w:marLeft w:val="0"/>
                              <w:marRight w:val="0"/>
                              <w:marTop w:val="0"/>
                              <w:marBottom w:val="0"/>
                              <w:divBdr>
                                <w:top w:val="none" w:sz="0" w:space="0" w:color="auto"/>
                                <w:left w:val="none" w:sz="0" w:space="0" w:color="auto"/>
                                <w:bottom w:val="none" w:sz="0" w:space="0" w:color="auto"/>
                                <w:right w:val="none" w:sz="0" w:space="0" w:color="auto"/>
                              </w:divBdr>
                              <w:divsChild>
                                <w:div w:id="1101334338">
                                  <w:marLeft w:val="0"/>
                                  <w:marRight w:val="0"/>
                                  <w:marTop w:val="0"/>
                                  <w:marBottom w:val="0"/>
                                  <w:divBdr>
                                    <w:top w:val="none" w:sz="0" w:space="0" w:color="auto"/>
                                    <w:left w:val="none" w:sz="0" w:space="0" w:color="auto"/>
                                    <w:bottom w:val="none" w:sz="0" w:space="0" w:color="auto"/>
                                    <w:right w:val="none" w:sz="0" w:space="0" w:color="auto"/>
                                  </w:divBdr>
                                  <w:divsChild>
                                    <w:div w:id="598366022">
                                      <w:marLeft w:val="0"/>
                                      <w:marRight w:val="0"/>
                                      <w:marTop w:val="0"/>
                                      <w:marBottom w:val="0"/>
                                      <w:divBdr>
                                        <w:top w:val="none" w:sz="0" w:space="0" w:color="auto"/>
                                        <w:left w:val="none" w:sz="0" w:space="0" w:color="auto"/>
                                        <w:bottom w:val="none" w:sz="0" w:space="0" w:color="auto"/>
                                        <w:right w:val="none" w:sz="0" w:space="0" w:color="auto"/>
                                      </w:divBdr>
                                      <w:divsChild>
                                        <w:div w:id="798034735">
                                          <w:marLeft w:val="0"/>
                                          <w:marRight w:val="0"/>
                                          <w:marTop w:val="0"/>
                                          <w:marBottom w:val="0"/>
                                          <w:divBdr>
                                            <w:top w:val="none" w:sz="0" w:space="0" w:color="auto"/>
                                            <w:left w:val="none" w:sz="0" w:space="0" w:color="auto"/>
                                            <w:bottom w:val="none" w:sz="0" w:space="0" w:color="auto"/>
                                            <w:right w:val="none" w:sz="0" w:space="0" w:color="auto"/>
                                          </w:divBdr>
                                          <w:divsChild>
                                            <w:div w:id="1131553762">
                                              <w:marLeft w:val="0"/>
                                              <w:marRight w:val="0"/>
                                              <w:marTop w:val="0"/>
                                              <w:marBottom w:val="0"/>
                                              <w:divBdr>
                                                <w:top w:val="none" w:sz="0" w:space="0" w:color="auto"/>
                                                <w:left w:val="none" w:sz="0" w:space="0" w:color="auto"/>
                                                <w:bottom w:val="none" w:sz="0" w:space="0" w:color="auto"/>
                                                <w:right w:val="none" w:sz="0" w:space="0" w:color="auto"/>
                                              </w:divBdr>
                                              <w:divsChild>
                                                <w:div w:id="1214779315">
                                                  <w:marLeft w:val="0"/>
                                                  <w:marRight w:val="0"/>
                                                  <w:marTop w:val="0"/>
                                                  <w:marBottom w:val="0"/>
                                                  <w:divBdr>
                                                    <w:top w:val="none" w:sz="0" w:space="0" w:color="auto"/>
                                                    <w:left w:val="none" w:sz="0" w:space="0" w:color="auto"/>
                                                    <w:bottom w:val="none" w:sz="0" w:space="0" w:color="auto"/>
                                                    <w:right w:val="none" w:sz="0" w:space="0" w:color="auto"/>
                                                  </w:divBdr>
                                                  <w:divsChild>
                                                    <w:div w:id="19812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Graves</dc:creator>
  <cp:keywords/>
  <dc:description/>
  <cp:lastModifiedBy>Anne Graves</cp:lastModifiedBy>
  <cp:revision>2</cp:revision>
  <dcterms:created xsi:type="dcterms:W3CDTF">2019-08-23T08:32:00Z</dcterms:created>
  <dcterms:modified xsi:type="dcterms:W3CDTF">2019-08-23T08:32:00Z</dcterms:modified>
</cp:coreProperties>
</file>